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3" w:rsidRPr="005F2D52" w:rsidRDefault="009B4DE3" w:rsidP="005F2D52">
      <w:pPr>
        <w:pStyle w:val="1"/>
        <w:spacing w:befor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69545312"/>
      <w:bookmarkStart w:id="28" w:name="_Toc211266796"/>
      <w:bookmarkStart w:id="29" w:name="_Toc273121258"/>
      <w:bookmarkStart w:id="30" w:name="_Toc273363498"/>
      <w:bookmarkStart w:id="31" w:name="_Toc274770294"/>
      <w:r w:rsidRPr="005F2D52">
        <w:rPr>
          <w:rFonts w:ascii="Times New Roman" w:hAnsi="Times New Roman" w:cs="Times New Roman"/>
          <w:kern w:val="28"/>
          <w:sz w:val="28"/>
          <w:szCs w:val="28"/>
        </w:rPr>
        <w:t>Основные направления</w:t>
      </w:r>
      <w:bookmarkEnd w:id="0"/>
      <w:bookmarkEnd w:id="1"/>
      <w:bookmarkEnd w:id="2"/>
      <w:bookmarkEnd w:id="3"/>
      <w:bookmarkEnd w:id="4"/>
      <w:bookmarkEnd w:id="5"/>
      <w:bookmarkEnd w:id="6"/>
      <w:r w:rsidRPr="005F2D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32" w:name="_Toc336620785"/>
      <w:bookmarkStart w:id="33" w:name="_Toc336620865"/>
      <w:bookmarkStart w:id="34" w:name="_Toc336787439"/>
      <w:bookmarkStart w:id="35" w:name="_Toc336787620"/>
      <w:bookmarkStart w:id="36" w:name="_Toc337224164"/>
      <w:bookmarkStart w:id="37" w:name="_Toc337224222"/>
      <w:bookmarkStart w:id="38" w:name="_Toc337809435"/>
      <w:r w:rsidRPr="005F2D52">
        <w:rPr>
          <w:rFonts w:ascii="Times New Roman" w:hAnsi="Times New Roman" w:cs="Times New Roman"/>
          <w:kern w:val="28"/>
          <w:sz w:val="28"/>
          <w:szCs w:val="28"/>
        </w:rPr>
        <w:t xml:space="preserve">налоговой политики </w:t>
      </w:r>
      <w:bookmarkStart w:id="39" w:name="_Toc274821244"/>
      <w:bookmarkStart w:id="40" w:name="_Toc274821373"/>
      <w:bookmarkStart w:id="41" w:name="_Toc299986477"/>
      <w:bookmarkStart w:id="42" w:name="_Toc304457356"/>
      <w:bookmarkStart w:id="43" w:name="_Toc304457493"/>
      <w:bookmarkStart w:id="44" w:name="_Toc304457601"/>
      <w:bookmarkStart w:id="45" w:name="_Toc304999599"/>
      <w:bookmarkStart w:id="46" w:name="_Toc305000040"/>
      <w:bookmarkStart w:id="47" w:name="_Toc305002809"/>
      <w:bookmarkStart w:id="48" w:name="_Toc305003125"/>
      <w:bookmarkStart w:id="49" w:name="_Toc305155267"/>
      <w:bookmarkStart w:id="50" w:name="_Toc305158444"/>
      <w:bookmarkStart w:id="51" w:name="_Toc305163061"/>
      <w:bookmarkStart w:id="52" w:name="_Toc305165921"/>
      <w:bookmarkStart w:id="53" w:name="_Toc305166940"/>
      <w:bookmarkStart w:id="54" w:name="_Toc305935229"/>
      <w:bookmarkStart w:id="55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C82682">
        <w:rPr>
          <w:rFonts w:ascii="Times New Roman" w:hAnsi="Times New Roman" w:cs="Times New Roman"/>
          <w:kern w:val="28"/>
          <w:sz w:val="28"/>
          <w:szCs w:val="28"/>
        </w:rPr>
        <w:t>Долгомостовского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>вета</w:t>
      </w:r>
      <w:r w:rsidRPr="005F2D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9B4DE3" w:rsidRPr="005F2D52" w:rsidRDefault="009B4DE3" w:rsidP="005F2D52">
      <w:pPr>
        <w:pStyle w:val="1"/>
        <w:spacing w:befor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56" w:name="_Toc367968139"/>
      <w:bookmarkStart w:id="57" w:name="_Toc367978120"/>
      <w:bookmarkStart w:id="58" w:name="_Toc368665040"/>
      <w:bookmarkStart w:id="59" w:name="_Toc369545313"/>
      <w:r w:rsidRPr="005F2D52">
        <w:rPr>
          <w:rFonts w:ascii="Times New Roman" w:hAnsi="Times New Roman" w:cs="Times New Roman"/>
          <w:kern w:val="28"/>
          <w:sz w:val="28"/>
          <w:szCs w:val="28"/>
        </w:rPr>
        <w:t>на 20</w:t>
      </w:r>
      <w:r w:rsidR="00BD7C54">
        <w:rPr>
          <w:rFonts w:ascii="Times New Roman" w:hAnsi="Times New Roman" w:cs="Times New Roman"/>
          <w:kern w:val="28"/>
          <w:sz w:val="28"/>
          <w:szCs w:val="28"/>
        </w:rPr>
        <w:t>21</w:t>
      </w:r>
      <w:r w:rsidRPr="005F2D52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End w:id="32"/>
      <w:bookmarkEnd w:id="33"/>
      <w:bookmarkEnd w:id="34"/>
      <w:bookmarkEnd w:id="35"/>
      <w:bookmarkEnd w:id="36"/>
      <w:bookmarkEnd w:id="37"/>
      <w:bookmarkEnd w:id="38"/>
      <w:r w:rsidRPr="005F2D5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bookmarkStart w:id="60" w:name="_Toc336620786"/>
      <w:bookmarkStart w:id="61" w:name="_Toc336620866"/>
      <w:bookmarkStart w:id="62" w:name="_Toc336787440"/>
      <w:bookmarkStart w:id="63" w:name="_Toc336787621"/>
      <w:bookmarkStart w:id="64" w:name="_Toc337224165"/>
      <w:bookmarkStart w:id="65" w:name="_Toc337224223"/>
      <w:bookmarkStart w:id="66" w:name="_Toc337809436"/>
      <w:r>
        <w:rPr>
          <w:rFonts w:ascii="Times New Roman" w:hAnsi="Times New Roman" w:cs="Times New Roman"/>
          <w:kern w:val="28"/>
          <w:sz w:val="28"/>
          <w:szCs w:val="28"/>
        </w:rPr>
        <w:t>и плановый период 202</w:t>
      </w:r>
      <w:r w:rsidR="00BD7C54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F2D52">
        <w:rPr>
          <w:rFonts w:ascii="Times New Roman" w:hAnsi="Times New Roman" w:cs="Times New Roman"/>
          <w:kern w:val="28"/>
          <w:sz w:val="28"/>
          <w:szCs w:val="28"/>
        </w:rPr>
        <w:t> - 20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="00BD7C54"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5F2D52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End w:id="28"/>
      <w:bookmarkEnd w:id="29"/>
      <w:bookmarkEnd w:id="30"/>
      <w:bookmarkEnd w:id="31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5F2D52">
        <w:rPr>
          <w:rFonts w:ascii="Times New Roman" w:hAnsi="Times New Roman" w:cs="Times New Roman"/>
          <w:kern w:val="28"/>
          <w:sz w:val="28"/>
          <w:szCs w:val="28"/>
        </w:rPr>
        <w:t>ов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9B4DE3" w:rsidRDefault="009B4DE3" w:rsidP="005F2D52">
      <w:pPr>
        <w:jc w:val="center"/>
        <w:rPr>
          <w:b/>
          <w:sz w:val="28"/>
        </w:rPr>
      </w:pPr>
    </w:p>
    <w:p w:rsidR="009B4DE3" w:rsidRDefault="009B4DE3" w:rsidP="005F2D52">
      <w:pPr>
        <w:jc w:val="center"/>
        <w:rPr>
          <w:b/>
          <w:sz w:val="28"/>
        </w:rPr>
      </w:pPr>
      <w:r>
        <w:rPr>
          <w:b/>
          <w:sz w:val="28"/>
        </w:rPr>
        <w:t>1.Основные задачи налоговой политики</w:t>
      </w:r>
    </w:p>
    <w:p w:rsidR="009B4DE3" w:rsidRDefault="009B4DE3" w:rsidP="005F2D52">
      <w:pPr>
        <w:jc w:val="center"/>
        <w:rPr>
          <w:b/>
          <w:sz w:val="28"/>
        </w:rPr>
      </w:pPr>
    </w:p>
    <w:p w:rsidR="009B4DE3" w:rsidRPr="00701183" w:rsidRDefault="009B4DE3" w:rsidP="00BC12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183">
        <w:rPr>
          <w:sz w:val="28"/>
          <w:szCs w:val="28"/>
        </w:rPr>
        <w:t xml:space="preserve">Основные направления налоговой политики </w:t>
      </w:r>
      <w:r w:rsidR="00C82682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</w:t>
      </w:r>
      <w:r w:rsidRPr="00701183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BD7C54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на плановый период 202</w:t>
      </w:r>
      <w:r w:rsidR="00BD7C54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BD7C5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701183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 xml:space="preserve">с учетом положений </w:t>
      </w:r>
      <w:r w:rsidRPr="00701183">
        <w:rPr>
          <w:sz w:val="28"/>
          <w:szCs w:val="28"/>
        </w:rPr>
        <w:t xml:space="preserve">основных направлений налоговой политики </w:t>
      </w:r>
      <w:r>
        <w:rPr>
          <w:sz w:val="28"/>
          <w:szCs w:val="28"/>
        </w:rPr>
        <w:t>Красноярск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 </w:t>
      </w:r>
      <w:r w:rsidRPr="00701183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BD7C54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701183">
        <w:rPr>
          <w:sz w:val="28"/>
          <w:szCs w:val="28"/>
        </w:rPr>
        <w:t xml:space="preserve">год и </w:t>
      </w:r>
      <w:r>
        <w:rPr>
          <w:sz w:val="28"/>
          <w:szCs w:val="28"/>
        </w:rPr>
        <w:t>на плановый</w:t>
      </w:r>
      <w:r w:rsidRPr="0070118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202</w:t>
      </w:r>
      <w:r w:rsidR="00BD7C54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BD7C5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  <w:r w:rsidRPr="00701183">
        <w:rPr>
          <w:sz w:val="28"/>
          <w:szCs w:val="28"/>
        </w:rPr>
        <w:t xml:space="preserve"> </w:t>
      </w:r>
    </w:p>
    <w:p w:rsidR="009B4DE3" w:rsidRDefault="009B4DE3" w:rsidP="008D3F22">
      <w:pPr>
        <w:ind w:firstLine="709"/>
        <w:jc w:val="both"/>
        <w:rPr>
          <w:color w:val="000000"/>
          <w:sz w:val="28"/>
        </w:rPr>
      </w:pPr>
      <w:r w:rsidRPr="00A81C22">
        <w:rPr>
          <w:color w:val="000000"/>
          <w:sz w:val="28"/>
        </w:rPr>
        <w:t xml:space="preserve">Основными задачами налоговой политики </w:t>
      </w:r>
      <w:r w:rsidR="00C82682">
        <w:rPr>
          <w:sz w:val="28"/>
          <w:szCs w:val="28"/>
        </w:rPr>
        <w:t>Долгомостовского</w:t>
      </w:r>
      <w:r>
        <w:rPr>
          <w:color w:val="000000"/>
          <w:sz w:val="28"/>
        </w:rPr>
        <w:t xml:space="preserve"> сельсов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</w:t>
      </w:r>
      <w:r w:rsidRPr="00A81C22">
        <w:rPr>
          <w:color w:val="000000"/>
          <w:sz w:val="28"/>
        </w:rPr>
        <w:t xml:space="preserve"> продолжают оставаться создание эффективной и стабильной налоговой </w:t>
      </w:r>
      <w:r>
        <w:rPr>
          <w:color w:val="000000"/>
          <w:sz w:val="28"/>
        </w:rPr>
        <w:t xml:space="preserve">    </w:t>
      </w:r>
      <w:r w:rsidRPr="00A81C22">
        <w:rPr>
          <w:color w:val="000000"/>
          <w:sz w:val="28"/>
        </w:rPr>
        <w:t xml:space="preserve">системы, обеспечивающей бюджетную устойчивость в среднесрочной и </w:t>
      </w:r>
      <w:r>
        <w:rPr>
          <w:color w:val="000000"/>
          <w:sz w:val="28"/>
        </w:rPr>
        <w:t xml:space="preserve">  </w:t>
      </w:r>
      <w:r w:rsidRPr="00A81C22">
        <w:rPr>
          <w:color w:val="000000"/>
          <w:sz w:val="28"/>
        </w:rPr>
        <w:t>долгосрочной перспективе.</w:t>
      </w:r>
    </w:p>
    <w:p w:rsidR="009B4DE3" w:rsidRPr="008D3F22" w:rsidRDefault="009B4DE3" w:rsidP="008D3F2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3F22">
        <w:rPr>
          <w:sz w:val="28"/>
          <w:szCs w:val="28"/>
        </w:rPr>
        <w:t>Основной задачей при реализации налоговой политики края в 201</w:t>
      </w:r>
      <w:r w:rsidR="00BD7C54">
        <w:rPr>
          <w:sz w:val="28"/>
          <w:szCs w:val="28"/>
        </w:rPr>
        <w:t>9</w:t>
      </w:r>
      <w:r w:rsidRPr="008D3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D3F22">
        <w:rPr>
          <w:sz w:val="28"/>
          <w:szCs w:val="28"/>
        </w:rPr>
        <w:t>го</w:t>
      </w:r>
      <w:r>
        <w:rPr>
          <w:sz w:val="28"/>
          <w:szCs w:val="28"/>
        </w:rPr>
        <w:t>ду и плановом периоде до 20</w:t>
      </w:r>
      <w:r w:rsidR="00BD7C54">
        <w:rPr>
          <w:sz w:val="28"/>
          <w:szCs w:val="28"/>
        </w:rPr>
        <w:t>20</w:t>
      </w:r>
      <w:r w:rsidRPr="008D3F22">
        <w:rPr>
          <w:sz w:val="28"/>
          <w:szCs w:val="28"/>
        </w:rPr>
        <w:t xml:space="preserve"> года являлось недопущение увеличения</w:t>
      </w:r>
      <w:r>
        <w:rPr>
          <w:sz w:val="28"/>
          <w:szCs w:val="28"/>
        </w:rPr>
        <w:t xml:space="preserve"> </w:t>
      </w:r>
      <w:r w:rsidRPr="008D3F22">
        <w:rPr>
          <w:sz w:val="28"/>
          <w:szCs w:val="28"/>
        </w:rPr>
        <w:t xml:space="preserve"> налоговой нагрузки для субъектов экономической деятельности, для </w:t>
      </w:r>
      <w:r>
        <w:rPr>
          <w:sz w:val="28"/>
          <w:szCs w:val="28"/>
        </w:rPr>
        <w:t xml:space="preserve">       </w:t>
      </w:r>
      <w:r w:rsidRPr="008D3F22">
        <w:rPr>
          <w:sz w:val="28"/>
          <w:szCs w:val="28"/>
        </w:rPr>
        <w:t>субъектов малого и среднего предпринимательства, а в отношении новых</w:t>
      </w:r>
      <w:r>
        <w:rPr>
          <w:sz w:val="28"/>
          <w:szCs w:val="28"/>
        </w:rPr>
        <w:t xml:space="preserve"> </w:t>
      </w:r>
      <w:r w:rsidRPr="008D3F22">
        <w:rPr>
          <w:sz w:val="28"/>
          <w:szCs w:val="28"/>
        </w:rPr>
        <w:t xml:space="preserve"> инвестиционных проектов – рассмотрение возможности ее снижения.</w:t>
      </w:r>
    </w:p>
    <w:p w:rsidR="009B4DE3" w:rsidRPr="008D3F22" w:rsidRDefault="009B4DE3" w:rsidP="008D3F2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3F22">
        <w:rPr>
          <w:sz w:val="28"/>
          <w:szCs w:val="28"/>
        </w:rPr>
        <w:t>Особое внимание при реализации налоговой политики уделялось</w:t>
      </w:r>
      <w:r>
        <w:rPr>
          <w:sz w:val="28"/>
          <w:szCs w:val="28"/>
        </w:rPr>
        <w:t xml:space="preserve">    </w:t>
      </w:r>
      <w:r w:rsidRPr="008D3F22">
        <w:rPr>
          <w:sz w:val="28"/>
          <w:szCs w:val="28"/>
        </w:rPr>
        <w:t xml:space="preserve"> анализу основных изменений федерального налогового законодательства, а также положений, изложенных в ежегодных посланиях Президента </w:t>
      </w:r>
      <w:r>
        <w:rPr>
          <w:sz w:val="28"/>
          <w:szCs w:val="28"/>
        </w:rPr>
        <w:t xml:space="preserve">       </w:t>
      </w:r>
      <w:r w:rsidRPr="008D3F22">
        <w:rPr>
          <w:sz w:val="28"/>
          <w:szCs w:val="28"/>
        </w:rPr>
        <w:t>Российской Федерации Федеральному Собранию Российской Федерации в части определения основных приоритетов налогового регулирования.</w:t>
      </w:r>
    </w:p>
    <w:p w:rsidR="009B4DE3" w:rsidRDefault="009B4DE3" w:rsidP="00C055AA">
      <w:pPr>
        <w:ind w:firstLine="709"/>
        <w:jc w:val="both"/>
        <w:rPr>
          <w:sz w:val="28"/>
          <w:szCs w:val="28"/>
        </w:rPr>
      </w:pPr>
      <w:r w:rsidRPr="00BC12C5">
        <w:rPr>
          <w:sz w:val="28"/>
          <w:szCs w:val="28"/>
        </w:rPr>
        <w:t xml:space="preserve">Налоговая политика </w:t>
      </w:r>
      <w:r w:rsidR="00C82682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</w:t>
      </w:r>
      <w:r w:rsidRPr="00BC12C5">
        <w:rPr>
          <w:sz w:val="28"/>
          <w:szCs w:val="28"/>
        </w:rPr>
        <w:t xml:space="preserve"> в 201</w:t>
      </w:r>
      <w:r>
        <w:rPr>
          <w:sz w:val="28"/>
          <w:szCs w:val="28"/>
        </w:rPr>
        <w:t>9 - 2021</w:t>
      </w:r>
      <w:r w:rsidRPr="00BC12C5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  </w:t>
      </w:r>
      <w:r w:rsidRPr="00BC12C5">
        <w:rPr>
          <w:sz w:val="28"/>
          <w:szCs w:val="28"/>
        </w:rPr>
        <w:t xml:space="preserve"> будет направлена на обеспечение поступления в бюджет </w:t>
      </w:r>
      <w:r w:rsidR="00C82682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 сельсовета</w:t>
      </w:r>
      <w:r w:rsidRPr="00BC12C5">
        <w:rPr>
          <w:sz w:val="28"/>
          <w:szCs w:val="28"/>
        </w:rPr>
        <w:t xml:space="preserve"> всех доходных источников в запланированных объемах, а также дополнительных доходов, в том числе за счет погашения</w:t>
      </w:r>
      <w:r>
        <w:rPr>
          <w:sz w:val="28"/>
          <w:szCs w:val="28"/>
        </w:rPr>
        <w:t xml:space="preserve">                              </w:t>
      </w:r>
      <w:r w:rsidRPr="00BC12C5">
        <w:rPr>
          <w:sz w:val="28"/>
          <w:szCs w:val="28"/>
        </w:rPr>
        <w:t xml:space="preserve"> налогоплательщиками задолженности по обязательным платежам в бюджет.</w:t>
      </w:r>
    </w:p>
    <w:p w:rsidR="009B4DE3" w:rsidRDefault="009B4DE3" w:rsidP="00C055AA">
      <w:pPr>
        <w:ind w:firstLine="709"/>
        <w:jc w:val="both"/>
        <w:rPr>
          <w:sz w:val="28"/>
          <w:szCs w:val="28"/>
        </w:rPr>
      </w:pPr>
    </w:p>
    <w:p w:rsidR="009B4DE3" w:rsidRPr="00C055AA" w:rsidRDefault="009B4DE3" w:rsidP="00C3605F">
      <w:pPr>
        <w:jc w:val="center"/>
        <w:rPr>
          <w:sz w:val="28"/>
          <w:szCs w:val="28"/>
        </w:rPr>
      </w:pPr>
      <w:r w:rsidRPr="00A63457">
        <w:rPr>
          <w:b/>
          <w:bCs/>
          <w:sz w:val="28"/>
          <w:szCs w:val="28"/>
        </w:rPr>
        <w:t>Основные итоги реализации налоговой политики в 201</w:t>
      </w:r>
      <w:r w:rsidR="00BD7C54">
        <w:rPr>
          <w:b/>
          <w:bCs/>
          <w:sz w:val="28"/>
          <w:szCs w:val="28"/>
        </w:rPr>
        <w:t>8</w:t>
      </w:r>
      <w:r w:rsidRPr="00A63457">
        <w:rPr>
          <w:b/>
          <w:bCs/>
          <w:sz w:val="28"/>
          <w:szCs w:val="28"/>
        </w:rPr>
        <w:t xml:space="preserve"> – 201</w:t>
      </w:r>
      <w:r w:rsidR="00BD7C54">
        <w:rPr>
          <w:b/>
          <w:bCs/>
          <w:sz w:val="28"/>
          <w:szCs w:val="28"/>
        </w:rPr>
        <w:t>9</w:t>
      </w:r>
      <w:r w:rsidRPr="00A63457">
        <w:rPr>
          <w:b/>
          <w:bCs/>
          <w:sz w:val="28"/>
          <w:szCs w:val="28"/>
        </w:rPr>
        <w:t xml:space="preserve"> годах</w:t>
      </w:r>
    </w:p>
    <w:p w:rsidR="009B4DE3" w:rsidRPr="00A63457" w:rsidRDefault="009B4DE3" w:rsidP="003621F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63457">
        <w:rPr>
          <w:sz w:val="28"/>
          <w:szCs w:val="28"/>
        </w:rPr>
        <w:t xml:space="preserve">Поступление налоговых и неналоговых доходов в </w:t>
      </w:r>
      <w:r>
        <w:rPr>
          <w:sz w:val="28"/>
          <w:szCs w:val="28"/>
        </w:rPr>
        <w:t xml:space="preserve">бюджет                 </w:t>
      </w:r>
      <w:r w:rsidR="00C82682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</w:t>
      </w:r>
      <w:r w:rsidRPr="00A63457">
        <w:rPr>
          <w:sz w:val="28"/>
          <w:szCs w:val="28"/>
        </w:rPr>
        <w:t xml:space="preserve"> в 201</w:t>
      </w:r>
      <w:r w:rsidR="00BD7C54">
        <w:rPr>
          <w:sz w:val="28"/>
          <w:szCs w:val="28"/>
        </w:rPr>
        <w:t>8</w:t>
      </w:r>
      <w:r w:rsidRPr="00A63457">
        <w:rPr>
          <w:sz w:val="28"/>
          <w:szCs w:val="28"/>
        </w:rPr>
        <w:t>- 201</w:t>
      </w:r>
      <w:r w:rsidR="00BD7C54">
        <w:rPr>
          <w:sz w:val="28"/>
          <w:szCs w:val="28"/>
        </w:rPr>
        <w:t>9</w:t>
      </w:r>
      <w:r w:rsidRPr="00A63457">
        <w:rPr>
          <w:sz w:val="28"/>
          <w:szCs w:val="28"/>
        </w:rPr>
        <w:t xml:space="preserve"> годах характеризуется следу</w:t>
      </w:r>
      <w:r w:rsidRPr="00A63457">
        <w:rPr>
          <w:sz w:val="28"/>
          <w:szCs w:val="28"/>
        </w:rPr>
        <w:t>ю</w:t>
      </w:r>
      <w:r w:rsidRPr="00A63457">
        <w:rPr>
          <w:sz w:val="28"/>
          <w:szCs w:val="28"/>
        </w:rPr>
        <w:t>щим образом:</w:t>
      </w:r>
    </w:p>
    <w:tbl>
      <w:tblPr>
        <w:tblW w:w="93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972"/>
        <w:gridCol w:w="1275"/>
        <w:gridCol w:w="1276"/>
        <w:gridCol w:w="1843"/>
      </w:tblGrid>
      <w:tr w:rsidR="009B4DE3" w:rsidRPr="001A00CB" w:rsidTr="001B1D50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B428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 w:rsidP="00BD7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BD7C54">
              <w:rPr>
                <w:color w:val="000000"/>
                <w:sz w:val="28"/>
                <w:szCs w:val="28"/>
              </w:rPr>
              <w:t xml:space="preserve">8 </w:t>
            </w:r>
            <w:r w:rsidRPr="00BB4281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9B4DE3" w:rsidP="00BD7C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D7C54">
              <w:rPr>
                <w:color w:val="000000"/>
                <w:sz w:val="28"/>
                <w:szCs w:val="28"/>
              </w:rPr>
              <w:t>19</w:t>
            </w:r>
            <w:r w:rsidRPr="001A00C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9B4DE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1A00CB">
              <w:rPr>
                <w:i/>
                <w:iCs/>
                <w:color w:val="000000"/>
                <w:sz w:val="28"/>
                <w:szCs w:val="28"/>
              </w:rPr>
              <w:t>% к пред</w:t>
            </w:r>
            <w:proofErr w:type="gramStart"/>
            <w:r w:rsidRPr="001A00CB">
              <w:rPr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00CB">
              <w:rPr>
                <w:i/>
                <w:iCs/>
                <w:color w:val="000000"/>
                <w:sz w:val="28"/>
                <w:szCs w:val="28"/>
              </w:rPr>
              <w:t>г</w:t>
            </w:r>
            <w:proofErr w:type="gramEnd"/>
            <w:r w:rsidRPr="001A00CB">
              <w:rPr>
                <w:i/>
                <w:iCs/>
                <w:color w:val="000000"/>
                <w:sz w:val="28"/>
                <w:szCs w:val="28"/>
              </w:rPr>
              <w:t>оду</w:t>
            </w:r>
          </w:p>
        </w:tc>
      </w:tr>
      <w:tr w:rsidR="009B4DE3" w:rsidRPr="001A00CB" w:rsidTr="001B1D50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281">
              <w:rPr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3621F7" w:rsidRDefault="00BD7C54" w:rsidP="006F63B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3621F7" w:rsidRDefault="00E07C2C" w:rsidP="006F63B7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703,0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3621F7" w:rsidRDefault="00E07C2C" w:rsidP="006F63B7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93,7</w:t>
            </w:r>
          </w:p>
        </w:tc>
      </w:tr>
      <w:tr w:rsidR="009B4DE3" w:rsidRPr="001A00CB" w:rsidTr="001B1D50">
        <w:trPr>
          <w:trHeight w:val="452"/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 w:rsidP="003621F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B4281">
              <w:rPr>
                <w:i/>
                <w:iCs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jc w:val="center"/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9B4D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A00C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9B4DE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A00C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218,0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262,6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120,5</w:t>
            </w: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9B4DE3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9B4DE3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9B4DE3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244,7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114,8</w:t>
            </w: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89,7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199,3</w:t>
            </w: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274,2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38,7</w:t>
            </w: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4281">
              <w:rPr>
                <w:b/>
                <w:b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3621F7" w:rsidRDefault="00BD7C54" w:rsidP="006F63B7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897,1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3621F7" w:rsidRDefault="00E07C2C" w:rsidP="006F63B7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1009,4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3621F7" w:rsidRDefault="00E07C2C" w:rsidP="006F63B7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112,5</w:t>
            </w: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 w:rsidP="003621F7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BB4281">
              <w:rPr>
                <w:i/>
                <w:iCs/>
                <w:color w:val="000000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9B4DE3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00C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9B4DE3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1A00C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9B4DE3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9B4DE3" w:rsidRPr="001A00CB" w:rsidTr="006F63B7">
        <w:trPr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BB4281" w:rsidRDefault="009B4DE3" w:rsidP="00F242E8">
            <w:pPr>
              <w:rPr>
                <w:color w:val="000000"/>
                <w:sz w:val="28"/>
                <w:szCs w:val="28"/>
              </w:rPr>
            </w:pPr>
            <w:r w:rsidRPr="00BB4281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E07C2C" w:rsidP="003621F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110,8</w:t>
            </w:r>
          </w:p>
        </w:tc>
      </w:tr>
      <w:tr w:rsidR="009B4DE3" w:rsidRPr="001A00CB" w:rsidTr="00EE5627">
        <w:trPr>
          <w:trHeight w:val="688"/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B4DE3" w:rsidRPr="006F63B7" w:rsidRDefault="009B4DE3" w:rsidP="006F6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       возмещения расходов, понесенных в связи с эксплуатацией имущества      сельских     поселений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9B4DE3" w:rsidRPr="001A00CB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62,2</w:t>
            </w:r>
          </w:p>
        </w:tc>
      </w:tr>
      <w:tr w:rsidR="00EE5627" w:rsidRPr="001A00CB" w:rsidTr="006F63B7">
        <w:trPr>
          <w:trHeight w:val="688"/>
          <w:tblCellSpacing w:w="0" w:type="dxa"/>
        </w:trPr>
        <w:tc>
          <w:tcPr>
            <w:tcW w:w="4972" w:type="dxa"/>
            <w:tcBorders>
              <w:top w:val="outset" w:sz="6" w:space="0" w:color="auto"/>
              <w:left w:val="single" w:sz="4" w:space="0" w:color="auto"/>
              <w:bottom w:val="single" w:sz="2" w:space="0" w:color="auto"/>
              <w:right w:val="outset" w:sz="6" w:space="0" w:color="auto"/>
            </w:tcBorders>
          </w:tcPr>
          <w:p w:rsidR="00EE5627" w:rsidRDefault="00EE5627" w:rsidP="006F63B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бот) и компенсации затрат государства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bottom"/>
          </w:tcPr>
          <w:p w:rsidR="00EE5627" w:rsidRDefault="00BD7C54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877,8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bottom"/>
          </w:tcPr>
          <w:p w:rsidR="00EE5627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993,8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</w:tcBorders>
            <w:vAlign w:val="bottom"/>
          </w:tcPr>
          <w:p w:rsidR="00EE5627" w:rsidRDefault="00E07C2C" w:rsidP="006F63B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113,2</w:t>
            </w:r>
          </w:p>
        </w:tc>
      </w:tr>
    </w:tbl>
    <w:p w:rsidR="009B4DE3" w:rsidRPr="00D53DB1" w:rsidRDefault="009B4DE3" w:rsidP="00D53DB1">
      <w:pPr>
        <w:ind w:firstLine="708"/>
      </w:pPr>
      <w:r w:rsidRPr="00261F5A">
        <w:t> </w:t>
      </w:r>
    </w:p>
    <w:p w:rsidR="009B4DE3" w:rsidRDefault="009B4DE3" w:rsidP="00DA38E2">
      <w:pPr>
        <w:pStyle w:val="2"/>
        <w:numPr>
          <w:ilvl w:val="0"/>
          <w:numId w:val="0"/>
        </w:numPr>
        <w:spacing w:before="0" w:after="0"/>
        <w:ind w:firstLine="709"/>
        <w:jc w:val="center"/>
        <w:rPr>
          <w:i w:val="0"/>
        </w:rPr>
      </w:pPr>
      <w:r w:rsidRPr="0093046B">
        <w:rPr>
          <w:i w:val="0"/>
        </w:rPr>
        <w:t xml:space="preserve">Переход на исчисление </w:t>
      </w:r>
      <w:proofErr w:type="gramStart"/>
      <w:r w:rsidRPr="0093046B">
        <w:rPr>
          <w:i w:val="0"/>
        </w:rPr>
        <w:t>налога</w:t>
      </w:r>
      <w:proofErr w:type="gramEnd"/>
      <w:r w:rsidRPr="0093046B">
        <w:rPr>
          <w:i w:val="0"/>
        </w:rPr>
        <w:t xml:space="preserve"> на имущество физических лиц </w:t>
      </w:r>
      <w:r>
        <w:rPr>
          <w:i w:val="0"/>
        </w:rPr>
        <w:t xml:space="preserve">      </w:t>
      </w:r>
      <w:r w:rsidRPr="0093046B">
        <w:rPr>
          <w:i w:val="0"/>
        </w:rPr>
        <w:t>исходя из кадастровой стоимости объектов налогообложения</w:t>
      </w:r>
    </w:p>
    <w:p w:rsidR="009B4DE3" w:rsidRPr="0093046B" w:rsidRDefault="009B4DE3" w:rsidP="00C30075">
      <w:pPr>
        <w:pStyle w:val="2"/>
        <w:numPr>
          <w:ilvl w:val="0"/>
          <w:numId w:val="0"/>
        </w:numPr>
        <w:spacing w:before="0" w:after="0"/>
        <w:ind w:firstLine="709"/>
        <w:rPr>
          <w:i w:val="0"/>
        </w:rPr>
      </w:pPr>
    </w:p>
    <w:p w:rsidR="009B4DE3" w:rsidRPr="005953E1" w:rsidRDefault="009B4DE3" w:rsidP="009676C8">
      <w:pPr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Законодательным Собрание Красноярского края законопроекта  об установлении единой даты начала применения на           территории Красноярского края порядка определения налоговой базы исходя из кадастровой стоимости, администрацией </w:t>
      </w:r>
      <w:r w:rsidR="00C82682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будет разработан проект Решения «О налоге на  имущество физических лиц» в    соответствии с принятым законом.</w:t>
      </w:r>
    </w:p>
    <w:p w:rsidR="009B4DE3" w:rsidRPr="005953E1" w:rsidRDefault="009B4DE3" w:rsidP="00C30075">
      <w:pPr>
        <w:tabs>
          <w:tab w:val="left" w:pos="720"/>
        </w:tabs>
        <w:ind w:firstLine="669"/>
        <w:jc w:val="both"/>
        <w:rPr>
          <w:sz w:val="28"/>
          <w:szCs w:val="28"/>
        </w:rPr>
      </w:pPr>
      <w:r w:rsidRPr="005953E1">
        <w:rPr>
          <w:sz w:val="28"/>
          <w:szCs w:val="28"/>
        </w:rPr>
        <w:t xml:space="preserve">Согласно нормам Налогового кодекса Российской Федерации, </w:t>
      </w:r>
      <w:r>
        <w:rPr>
          <w:sz w:val="28"/>
          <w:szCs w:val="28"/>
        </w:rPr>
        <w:t xml:space="preserve">Решение </w:t>
      </w:r>
      <w:r w:rsidRPr="005953E1">
        <w:rPr>
          <w:sz w:val="28"/>
          <w:szCs w:val="28"/>
        </w:rPr>
        <w:t xml:space="preserve">о введении налога на имущество физических лиц исходя из кадастровой стоимости объектов налогообложения </w:t>
      </w:r>
      <w:r>
        <w:rPr>
          <w:sz w:val="28"/>
          <w:szCs w:val="28"/>
        </w:rPr>
        <w:t xml:space="preserve">должно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принято не позднее 01.01.202</w:t>
      </w:r>
      <w:r w:rsidR="00E07C2C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B4DE3" w:rsidRPr="00141327" w:rsidRDefault="009B4DE3" w:rsidP="00121177">
      <w:pPr>
        <w:spacing w:line="288" w:lineRule="auto"/>
        <w:jc w:val="both"/>
        <w:rPr>
          <w:sz w:val="28"/>
          <w:szCs w:val="28"/>
        </w:rPr>
      </w:pPr>
    </w:p>
    <w:p w:rsidR="009B4DE3" w:rsidRDefault="009B4DE3" w:rsidP="00DA38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41327">
        <w:rPr>
          <w:b/>
          <w:sz w:val="28"/>
          <w:szCs w:val="28"/>
        </w:rPr>
        <w:t xml:space="preserve">. Меры в области налоговой политики, планируемые </w:t>
      </w:r>
      <w:proofErr w:type="gramStart"/>
      <w:r w:rsidRPr="00141327">
        <w:rPr>
          <w:b/>
          <w:sz w:val="28"/>
          <w:szCs w:val="28"/>
        </w:rPr>
        <w:t>к</w:t>
      </w:r>
      <w:proofErr w:type="gramEnd"/>
    </w:p>
    <w:p w:rsidR="009B4DE3" w:rsidRDefault="009B4DE3" w:rsidP="00DA38E2">
      <w:pPr>
        <w:ind w:firstLine="709"/>
        <w:jc w:val="center"/>
        <w:rPr>
          <w:b/>
          <w:sz w:val="28"/>
          <w:szCs w:val="28"/>
        </w:rPr>
      </w:pPr>
      <w:r w:rsidRPr="00141327">
        <w:rPr>
          <w:b/>
          <w:sz w:val="28"/>
          <w:szCs w:val="28"/>
        </w:rPr>
        <w:t>реализации в 20</w:t>
      </w:r>
      <w:r w:rsidR="00E07C2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году и в плановом периоде 202</w:t>
      </w:r>
      <w:r w:rsidR="00E07C2C">
        <w:rPr>
          <w:b/>
          <w:sz w:val="28"/>
          <w:szCs w:val="28"/>
        </w:rPr>
        <w:t>2</w:t>
      </w:r>
      <w:r w:rsidRPr="0014132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E07C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9B4DE3" w:rsidRPr="00141327" w:rsidRDefault="009B4DE3" w:rsidP="00DA38E2">
      <w:pPr>
        <w:ind w:firstLine="709"/>
        <w:jc w:val="center"/>
        <w:rPr>
          <w:b/>
          <w:sz w:val="28"/>
          <w:szCs w:val="28"/>
        </w:rPr>
      </w:pPr>
    </w:p>
    <w:p w:rsidR="009B4DE3" w:rsidRDefault="009B4DE3" w:rsidP="00CE0A3B">
      <w:pPr>
        <w:ind w:firstLine="709"/>
        <w:jc w:val="both"/>
        <w:rPr>
          <w:sz w:val="28"/>
          <w:szCs w:val="28"/>
        </w:rPr>
      </w:pPr>
      <w:r w:rsidRPr="00141327">
        <w:rPr>
          <w:sz w:val="28"/>
          <w:szCs w:val="28"/>
        </w:rPr>
        <w:t>В 20</w:t>
      </w:r>
      <w:r w:rsidR="00E07C2C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и плановом периоде 202</w:t>
      </w:r>
      <w:r w:rsidR="00E07C2C">
        <w:rPr>
          <w:sz w:val="28"/>
          <w:szCs w:val="28"/>
        </w:rPr>
        <w:t>2</w:t>
      </w:r>
      <w:r w:rsidRPr="0014132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07C2C">
        <w:rPr>
          <w:sz w:val="28"/>
          <w:szCs w:val="28"/>
        </w:rPr>
        <w:t>3</w:t>
      </w:r>
      <w:r w:rsidRPr="00141327">
        <w:rPr>
          <w:sz w:val="28"/>
          <w:szCs w:val="28"/>
        </w:rPr>
        <w:t xml:space="preserve"> годов реализация </w:t>
      </w:r>
      <w:r>
        <w:rPr>
          <w:sz w:val="28"/>
          <w:szCs w:val="28"/>
        </w:rPr>
        <w:t xml:space="preserve">          </w:t>
      </w:r>
      <w:r w:rsidRPr="00141327">
        <w:rPr>
          <w:sz w:val="28"/>
          <w:szCs w:val="28"/>
        </w:rPr>
        <w:t xml:space="preserve">основных направлений налоговой политики будет проводиться во </w:t>
      </w:r>
      <w:r>
        <w:rPr>
          <w:sz w:val="28"/>
          <w:szCs w:val="28"/>
        </w:rPr>
        <w:t xml:space="preserve">            </w:t>
      </w:r>
      <w:r w:rsidRPr="00141327">
        <w:rPr>
          <w:sz w:val="28"/>
          <w:szCs w:val="28"/>
        </w:rPr>
        <w:t xml:space="preserve">взаимосвязи с задачами, поставленными Президентом Российской </w:t>
      </w:r>
      <w:r>
        <w:rPr>
          <w:sz w:val="28"/>
          <w:szCs w:val="28"/>
        </w:rPr>
        <w:t xml:space="preserve">             </w:t>
      </w:r>
      <w:r w:rsidRPr="00141327">
        <w:rPr>
          <w:sz w:val="28"/>
          <w:szCs w:val="28"/>
        </w:rPr>
        <w:t>Федерации в ежегодных посланиях Федеральному Собранию Российской Федер</w:t>
      </w:r>
      <w:r w:rsidRPr="00141327">
        <w:rPr>
          <w:sz w:val="28"/>
          <w:szCs w:val="28"/>
        </w:rPr>
        <w:t>а</w:t>
      </w:r>
      <w:r w:rsidRPr="00141327">
        <w:rPr>
          <w:sz w:val="28"/>
          <w:szCs w:val="28"/>
        </w:rPr>
        <w:t xml:space="preserve">ции. </w:t>
      </w:r>
    </w:p>
    <w:p w:rsidR="009B4DE3" w:rsidRDefault="009B4DE3" w:rsidP="00CE0A3B">
      <w:pPr>
        <w:ind w:firstLine="709"/>
        <w:jc w:val="both"/>
        <w:rPr>
          <w:sz w:val="28"/>
          <w:szCs w:val="28"/>
        </w:rPr>
      </w:pPr>
      <w:r w:rsidRPr="00141327">
        <w:rPr>
          <w:sz w:val="28"/>
          <w:szCs w:val="28"/>
        </w:rPr>
        <w:t xml:space="preserve">Как и в предыдущие годы, принятие решений по изменению </w:t>
      </w:r>
      <w:r>
        <w:rPr>
          <w:sz w:val="28"/>
          <w:szCs w:val="28"/>
        </w:rPr>
        <w:t xml:space="preserve">              </w:t>
      </w:r>
      <w:r w:rsidRPr="00141327">
        <w:rPr>
          <w:sz w:val="28"/>
          <w:szCs w:val="28"/>
        </w:rPr>
        <w:t xml:space="preserve">налогового законодательства планируется осуществлять на основе </w:t>
      </w:r>
      <w:r>
        <w:rPr>
          <w:sz w:val="28"/>
          <w:szCs w:val="28"/>
        </w:rPr>
        <w:t xml:space="preserve">              </w:t>
      </w:r>
      <w:r w:rsidRPr="00141327">
        <w:rPr>
          <w:sz w:val="28"/>
          <w:szCs w:val="28"/>
        </w:rPr>
        <w:t xml:space="preserve">детального анализа экономических и бюджетных последствий таких </w:t>
      </w:r>
      <w:r>
        <w:rPr>
          <w:sz w:val="28"/>
          <w:szCs w:val="28"/>
        </w:rPr>
        <w:t xml:space="preserve">          </w:t>
      </w:r>
      <w:r w:rsidRPr="00141327">
        <w:rPr>
          <w:sz w:val="28"/>
          <w:szCs w:val="28"/>
        </w:rPr>
        <w:t>решений.</w:t>
      </w:r>
    </w:p>
    <w:p w:rsidR="009B4DE3" w:rsidRDefault="009B4DE3" w:rsidP="00CE0A3B">
      <w:pPr>
        <w:pStyle w:val="ConsNormal"/>
        <w:ind w:firstLine="709"/>
        <w:jc w:val="both"/>
        <w:rPr>
          <w:b/>
          <w:sz w:val="28"/>
        </w:rPr>
      </w:pPr>
      <w:r w:rsidRPr="00141327">
        <w:rPr>
          <w:rFonts w:ascii="Times New Roman" w:hAnsi="Times New Roman" w:cs="Times New Roman"/>
          <w:sz w:val="28"/>
          <w:szCs w:val="28"/>
        </w:rPr>
        <w:t>В 20</w:t>
      </w:r>
      <w:r w:rsidR="00E07C2C">
        <w:rPr>
          <w:rFonts w:ascii="Times New Roman" w:hAnsi="Times New Roman" w:cs="Times New Roman"/>
          <w:sz w:val="28"/>
          <w:szCs w:val="28"/>
        </w:rPr>
        <w:t>21</w:t>
      </w:r>
      <w:r w:rsidRPr="00141327">
        <w:rPr>
          <w:rFonts w:ascii="Times New Roman" w:hAnsi="Times New Roman" w:cs="Times New Roman"/>
          <w:sz w:val="28"/>
          <w:szCs w:val="28"/>
        </w:rPr>
        <w:t xml:space="preserve"> году планируется сохранение ранее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41327">
        <w:rPr>
          <w:rFonts w:ascii="Times New Roman" w:hAnsi="Times New Roman" w:cs="Times New Roman"/>
          <w:sz w:val="28"/>
          <w:szCs w:val="28"/>
        </w:rPr>
        <w:t>социальных налоговых льгот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E3" w:rsidRDefault="009B4DE3" w:rsidP="005F2D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9B4DE3" w:rsidSect="003621F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2D52"/>
    <w:rsid w:val="000127F3"/>
    <w:rsid w:val="000143C0"/>
    <w:rsid w:val="00042EF3"/>
    <w:rsid w:val="000515B0"/>
    <w:rsid w:val="00080F08"/>
    <w:rsid w:val="000B17F3"/>
    <w:rsid w:val="000F5A8F"/>
    <w:rsid w:val="00105EF2"/>
    <w:rsid w:val="00121177"/>
    <w:rsid w:val="001273AF"/>
    <w:rsid w:val="00141327"/>
    <w:rsid w:val="00155413"/>
    <w:rsid w:val="00190352"/>
    <w:rsid w:val="001A00CB"/>
    <w:rsid w:val="001B1D50"/>
    <w:rsid w:val="00213A9B"/>
    <w:rsid w:val="00217BBB"/>
    <w:rsid w:val="002360A6"/>
    <w:rsid w:val="00245BD7"/>
    <w:rsid w:val="00254875"/>
    <w:rsid w:val="00261F5A"/>
    <w:rsid w:val="0028536A"/>
    <w:rsid w:val="00287ED7"/>
    <w:rsid w:val="002A6086"/>
    <w:rsid w:val="003621F7"/>
    <w:rsid w:val="003658B4"/>
    <w:rsid w:val="0039198F"/>
    <w:rsid w:val="003E2AB3"/>
    <w:rsid w:val="004619DF"/>
    <w:rsid w:val="004A5217"/>
    <w:rsid w:val="004A7F09"/>
    <w:rsid w:val="004D1ADF"/>
    <w:rsid w:val="004F1101"/>
    <w:rsid w:val="004F436C"/>
    <w:rsid w:val="00511868"/>
    <w:rsid w:val="005252B1"/>
    <w:rsid w:val="0057797B"/>
    <w:rsid w:val="005953E1"/>
    <w:rsid w:val="005F2D52"/>
    <w:rsid w:val="005F6085"/>
    <w:rsid w:val="00611E26"/>
    <w:rsid w:val="0061761A"/>
    <w:rsid w:val="00683954"/>
    <w:rsid w:val="00693637"/>
    <w:rsid w:val="006C3ABB"/>
    <w:rsid w:val="006D283F"/>
    <w:rsid w:val="006F63B7"/>
    <w:rsid w:val="00701183"/>
    <w:rsid w:val="00725B4A"/>
    <w:rsid w:val="007743B2"/>
    <w:rsid w:val="00792C75"/>
    <w:rsid w:val="007C18EC"/>
    <w:rsid w:val="007D52F8"/>
    <w:rsid w:val="007D6854"/>
    <w:rsid w:val="007E5DE9"/>
    <w:rsid w:val="00804CFF"/>
    <w:rsid w:val="008167AE"/>
    <w:rsid w:val="00876B18"/>
    <w:rsid w:val="00893D9E"/>
    <w:rsid w:val="008C576D"/>
    <w:rsid w:val="008D3F22"/>
    <w:rsid w:val="008D571D"/>
    <w:rsid w:val="008F7C66"/>
    <w:rsid w:val="009040B4"/>
    <w:rsid w:val="0091030C"/>
    <w:rsid w:val="00913448"/>
    <w:rsid w:val="00923B79"/>
    <w:rsid w:val="0093046B"/>
    <w:rsid w:val="0096644D"/>
    <w:rsid w:val="0096679C"/>
    <w:rsid w:val="009676C8"/>
    <w:rsid w:val="009970B6"/>
    <w:rsid w:val="009A0D01"/>
    <w:rsid w:val="009A146C"/>
    <w:rsid w:val="009B4DE3"/>
    <w:rsid w:val="009E544F"/>
    <w:rsid w:val="009F53BB"/>
    <w:rsid w:val="00A10976"/>
    <w:rsid w:val="00A30146"/>
    <w:rsid w:val="00A63457"/>
    <w:rsid w:val="00A65E7F"/>
    <w:rsid w:val="00A81C22"/>
    <w:rsid w:val="00AC2BCD"/>
    <w:rsid w:val="00B50C5A"/>
    <w:rsid w:val="00B54A02"/>
    <w:rsid w:val="00B711DA"/>
    <w:rsid w:val="00B7148D"/>
    <w:rsid w:val="00BB4281"/>
    <w:rsid w:val="00BC12C5"/>
    <w:rsid w:val="00BD7C54"/>
    <w:rsid w:val="00BF06F3"/>
    <w:rsid w:val="00BF1DAA"/>
    <w:rsid w:val="00C055AA"/>
    <w:rsid w:val="00C13F0D"/>
    <w:rsid w:val="00C30075"/>
    <w:rsid w:val="00C3605F"/>
    <w:rsid w:val="00C37B9A"/>
    <w:rsid w:val="00C64001"/>
    <w:rsid w:val="00C82682"/>
    <w:rsid w:val="00C9574A"/>
    <w:rsid w:val="00CB77C8"/>
    <w:rsid w:val="00CE0A3B"/>
    <w:rsid w:val="00CE6896"/>
    <w:rsid w:val="00CF022F"/>
    <w:rsid w:val="00D0698D"/>
    <w:rsid w:val="00D15C09"/>
    <w:rsid w:val="00D53DB1"/>
    <w:rsid w:val="00D612AA"/>
    <w:rsid w:val="00D70EA5"/>
    <w:rsid w:val="00D77A5A"/>
    <w:rsid w:val="00DA38E2"/>
    <w:rsid w:val="00DC2E7B"/>
    <w:rsid w:val="00E07C2C"/>
    <w:rsid w:val="00E41D35"/>
    <w:rsid w:val="00E53EA5"/>
    <w:rsid w:val="00E53F41"/>
    <w:rsid w:val="00E70A6F"/>
    <w:rsid w:val="00E861E6"/>
    <w:rsid w:val="00EA6949"/>
    <w:rsid w:val="00EE5627"/>
    <w:rsid w:val="00EF1BB8"/>
    <w:rsid w:val="00F242E8"/>
    <w:rsid w:val="00F255C5"/>
    <w:rsid w:val="00F63C67"/>
    <w:rsid w:val="00FA0251"/>
    <w:rsid w:val="00FC163D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D5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9304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D5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046B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F25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E68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3"/>
    <w:link w:val="20"/>
    <w:uiPriority w:val="99"/>
    <w:rsid w:val="0093046B"/>
    <w:pPr>
      <w:numPr>
        <w:ilvl w:val="1"/>
        <w:numId w:val="1"/>
      </w:numPr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Стиль2 Знак"/>
    <w:basedOn w:val="30"/>
    <w:link w:val="2"/>
    <w:uiPriority w:val="99"/>
    <w:locked/>
    <w:rsid w:val="0093046B"/>
    <w:rPr>
      <w:rFonts w:ascii="Times New Roman" w:hAnsi="Times New Roman"/>
      <w:i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E5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5</cp:revision>
  <cp:lastPrinted>2018-11-12T00:47:00Z</cp:lastPrinted>
  <dcterms:created xsi:type="dcterms:W3CDTF">2018-11-11T04:01:00Z</dcterms:created>
  <dcterms:modified xsi:type="dcterms:W3CDTF">2020-11-09T07:14:00Z</dcterms:modified>
</cp:coreProperties>
</file>